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d-population-development"/>
    <w:p>
      <w:pPr>
        <w:pStyle w:val="berschrift1"/>
      </w:pPr>
      <w:r>
        <w:t xml:space="preserve">CKD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t xml:space="preserve">2</w:t>
      </w:r>
      <w:r>
        <w:t xml:space="preserve"> </w:t>
      </w:r>
      <w:r>
        <w:t xml:space="preserve">- including the effects of aging as appropriate - and modify the physiological parameters of the simulated individuals to replicate a realistic CKD phenotype. The details of this process are outlined in</w:t>
      </w:r>
      <w:r>
        <w:t xml:space="preserve"> </w:t>
      </w:r>
      <w:r>
        <w:rPr>
          <w:bCs/>
          <w:b/>
        </w:rPr>
        <w:t xml:space="preserve">Figure 2-2</w:t>
      </w:r>
      <w:r>
        <w:t xml:space="preserve">, with references to</w:t>
      </w:r>
      <w:r>
        <w:t xml:space="preserve"> </w:t>
      </w:r>
      <w:r>
        <w:rPr>
          <w:bCs/>
          <w:b/>
        </w:rPr>
        <w:t xml:space="preserve">Figure 2-1</w:t>
      </w:r>
      <w:r>
        <w:t xml:space="preserve">,</w:t>
      </w:r>
      <w:r>
        <w:t xml:space="preserve"> </w:t>
      </w:r>
      <w:r>
        <w:rPr>
          <w:bCs/>
          <w:b/>
        </w:rPr>
        <w:t xml:space="preserve">Table 2-1</w:t>
      </w:r>
      <w:r>
        <w:t xml:space="preserve"> </w:t>
      </w:r>
      <w:r>
        <w:t xml:space="preserve">and</w:t>
      </w:r>
      <w:r>
        <w:t xml:space="preserve"> </w:t>
      </w:r>
      <w:r>
        <w:rPr>
          <w:bCs/>
          <w:b/>
        </w:rPr>
        <w:t xml:space="preserve">Table 2-2</w:t>
      </w:r>
      <w:r>
        <w:t xml:space="preserve">.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2-1: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2-2: Algorithm for generation of virtual individuals with CKD while accounting for the effects of aging</w:t>
            </w:r>
          </w:p>
        </w:tc>
      </w:tr>
    </w:tbl>
    <w:p>
      <w:r>
        <w:br w:type="page"/>
      </w:r>
    </w:p>
    <w:p>
      <w:pPr>
        <w:pStyle w:val="Textkrper"/>
      </w:pPr>
      <w:r>
        <w:rPr>
          <w:bCs/>
          <w:b/>
        </w:rPr>
        <w:t xml:space="preserve">Table 2-1.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populatoins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w:t>
      </w:r>
      <w:r>
        <w:t xml:space="preserve">23</w:t>
      </w:r>
      <w:r>
        <w:t xml:space="preserve"> </w:t>
      </w:r>
      <w:r>
        <w:t xml:space="preserve">While gabapentin is a substrate of the OCT2 influx transporter in kidney, co-administration in humans with the OCT2 inhibitor cimetidine 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3-1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3-2</w:t>
      </w:r>
      <w:r>
        <w:t xml:space="preserve">.</w:t>
      </w:r>
    </w:p>
    <w:p>
      <w:r>
        <w:br w:type="page"/>
      </w:r>
    </w:p>
    <w:p>
      <w:pPr>
        <w:pStyle w:val="Textkrper"/>
      </w:pPr>
      <w:r>
        <w:rPr>
          <w:bCs/>
          <w:b/>
        </w:rPr>
        <w:t xml:space="preserve">Table 3-1.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3-2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3-2.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rPr>
          <w:bCs/>
          <w:b/>
        </w:rPr>
        <w:t xml:space="preserve">Figure 3-1</w:t>
      </w:r>
      <w:r>
        <w:t xml:space="preserve"> </w:t>
      </w:r>
      <w:r>
        <w:t xml:space="preserve">demonstrates the simulated oral model PK profiles in a healthy population compared against observed Blum 1994 study data.</w:t>
      </w:r>
      <w:r>
        <w:t xml:space="preserve">34</w:t>
      </w:r>
    </w:p>
    <w:p>
      <w:pPr>
        <w:pStyle w:val="Textkrper"/>
      </w:pPr>
    </w:p>
    <w:p>
      <w:r>
        <w:br w:type="page"/>
      </w:r>
    </w:p>
    <w:p>
      <w:pPr>
        <w:pStyle w:val="CaptionedFigure"/>
      </w:pPr>
      <w:r>
        <w:drawing>
          <wp:inline>
            <wp:extent cx="5969000" cy="2684806"/>
            <wp:effectExtent b="0" l="0" r="0" t="0"/>
            <wp:docPr descr="Figure 3-1: Simulation of the pharmacokinetics of Gabapentin after a single dose of 400 mg in healthy subjects. Observed data (circles) presented from Blum."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 Simulation of the pharmacokinetics of Gabapentin after a single dose of 400 mg in healthy subjects. Observed data (circles) presented from Blum.</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Blum 1994</w:t>
      </w:r>
      <w:r>
        <w:t xml:space="preserve">34</w:t>
      </w:r>
      <w:r>
        <w:t xml:space="preserve"> </w:t>
      </w:r>
      <w:r>
        <w:t xml:space="preserve">(eGFR 30-59 mL/min/1.73m</w:t>
      </w:r>
      <w:r>
        <w:t xml:space="preserve">2</w:t>
      </w:r>
      <w:r>
        <w:t xml:space="preserve">). Simulation of the pharmacokinetics of gabapentin after a single oral dose of 400 mg in this target population is presented in</w:t>
      </w:r>
      <w:r>
        <w:t xml:space="preserve"> </w:t>
      </w:r>
      <w:r>
        <w:rPr>
          <w:bCs/>
          <w:b/>
        </w:rPr>
        <w:t xml:space="preserve">Figure 3-2</w:t>
      </w:r>
    </w:p>
    <w:p>
      <w:pPr>
        <w:pStyle w:val="Textkrper"/>
      </w:pPr>
      <w:r>
        <w:t xml:space="preserve">A population with Stage 4-5 CKD was created according to the demographic parameters of the target population presented in the study of Blum 1994</w:t>
      </w:r>
      <w:r>
        <w:t xml:space="preserve">34</w:t>
      </w:r>
      <w:r>
        <w:t xml:space="preserve"> </w:t>
      </w:r>
      <w:r>
        <w:t xml:space="preserve">(eGFR 1-30 mL/min/1.73m</w:t>
      </w:r>
      <w:r>
        <w:t xml:space="preserve">2</w:t>
      </w:r>
      <w:r>
        <w:t xml:space="preserve">). Simulation of the pharmacokinetics of gabapentin after a single oral dose of 400 mg in this target population is presented in</w:t>
      </w:r>
      <w:r>
        <w:t xml:space="preserve"> </w:t>
      </w:r>
      <w:r>
        <w:rPr>
          <w:bCs/>
          <w:b/>
        </w:rPr>
        <w:t xml:space="preserve">Figure 3-3</w:t>
      </w:r>
    </w:p>
    <w:p>
      <w:pPr>
        <w:pStyle w:val="Textkrper"/>
      </w:pPr>
    </w:p>
    <w:p>
      <w:r>
        <w:br w:type="page"/>
      </w:r>
    </w:p>
    <w:p>
      <w:pPr>
        <w:pStyle w:val="CaptionedFigure"/>
      </w:pPr>
      <w:r>
        <w:drawing>
          <wp:inline>
            <wp:extent cx="5969000" cy="2684806"/>
            <wp:effectExtent b="0" l="0" r="0" t="0"/>
            <wp:docPr descr="Figure 3-2: Simulation of the pharmacokinetics of Gabapentin after a single dose of 400 mg in subjects with CKD. Observed data (circles) presented from Blum."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3-2: Simulation of the pharmacokinetics of Gabapentin after a single dose of 400 mg in subjects with CKD. Observed data (circles) presented from Blum.</w:t>
      </w:r>
    </w:p>
    <w:p>
      <w:pPr>
        <w:pStyle w:val="Textkrper"/>
      </w:pPr>
      <w:r>
        <w:t xml:space="preserve"> </w:t>
      </w:r>
    </w:p>
    <w:p>
      <w:pPr>
        <w:pStyle w:val="Textkrper"/>
      </w:pPr>
    </w:p>
    <w:p>
      <w:r>
        <w:br w:type="page"/>
      </w:r>
    </w:p>
    <w:p>
      <w:pPr>
        <w:pStyle w:val="CaptionedFigure"/>
      </w:pPr>
      <w:r>
        <w:drawing>
          <wp:inline>
            <wp:extent cx="5969000" cy="2684806"/>
            <wp:effectExtent b="0" l="0" r="0" t="0"/>
            <wp:docPr descr="Figure 3-3: Simulation of the pharmacokinetics of Gabapentin after a single dose of 400 mg in subjects with CKD. Observed data (circles) presented from Blum."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3-3: Simulation of the pharmacokinetics of Gabapentin after a single dose of 400 mg in subjects with CKD. Observed data (circles) presented from Blum.</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3-3</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3.2.2</w:t>
      </w:r>
      <w:r>
        <w:t xml:space="preserve">.</w:t>
      </w:r>
    </w:p>
    <w:p>
      <w:r>
        <w:br w:type="page"/>
      </w:r>
    </w:p>
    <w:p>
      <w:pPr>
        <w:pStyle w:val="Textkrper"/>
      </w:pPr>
      <w:r>
        <w:rPr>
          <w:bCs/>
          <w:b/>
        </w:rPr>
        <w:t xml:space="preserve">Table 3-3.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39</w:t>
            </w:r>
          </w:p>
        </w:tc>
      </w:tr>
      <w:tr>
        <w:tc>
          <w:tcPr/>
          <w:p>
            <w:pPr>
              <w:pStyle w:val="Compact"/>
              <w:jc w:val="left"/>
            </w:pPr>
            <w:r>
              <w:t xml:space="preserve">Molecular weight (MW)</w:t>
            </w:r>
          </w:p>
        </w:tc>
        <w:tc>
          <w:tcPr/>
          <w:p>
            <w:pPr>
              <w:pStyle w:val="Compact"/>
              <w:jc w:val="left"/>
            </w:pPr>
            <w:r>
              <w:t xml:space="preserve">336.43 g/mol</w:t>
            </w:r>
            <w:r>
              <w:t xml:space="preserve">39</w:t>
            </w:r>
          </w:p>
        </w:tc>
      </w:tr>
      <w:tr>
        <w:tc>
          <w:tcPr/>
          <w:p>
            <w:pPr>
              <w:pStyle w:val="Compact"/>
              <w:jc w:val="left"/>
            </w:pPr>
            <w:r>
              <w:t xml:space="preserve">pKa</w:t>
            </w:r>
          </w:p>
        </w:tc>
        <w:tc>
          <w:tcPr/>
          <w:p>
            <w:pPr>
              <w:pStyle w:val="Compact"/>
              <w:jc w:val="left"/>
            </w:pPr>
            <w:r>
              <w:t xml:space="preserve">9.40</w:t>
            </w:r>
            <w:r>
              <w:t xml:space="preserve">40</w:t>
            </w:r>
          </w:p>
        </w:tc>
      </w:tr>
      <w:tr>
        <w:tc>
          <w:tcPr/>
          <w:p>
            <w:pPr>
              <w:pStyle w:val="Compact"/>
              <w:jc w:val="left"/>
            </w:pPr>
            <w:r>
              <w:t xml:space="preserve">Water solubility</w:t>
            </w:r>
          </w:p>
        </w:tc>
        <w:tc>
          <w:tcPr/>
          <w:p>
            <w:pPr>
              <w:pStyle w:val="Compact"/>
              <w:jc w:val="left"/>
            </w:pPr>
            <w:r>
              <w:t xml:space="preserve">200 mg/mL</w:t>
            </w:r>
            <w: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3-3</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3-4</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3-3</w:t>
      </w:r>
      <w:r>
        <w:t xml:space="preserve">.</w:t>
      </w:r>
    </w:p>
    <w:p>
      <w:pPr>
        <w:pStyle w:val="Textkrper"/>
      </w:pPr>
      <w:r>
        <w:t xml:space="preserve">The estimated fraction excreted to urine of 12% approximated the observed value of 15% measured at 70 hours after oral administration.</w:t>
      </w:r>
      <w:r>
        <w:t xml:space="preserve">37,42,43</w:t>
      </w:r>
      <w:r>
        <w:t xml:space="preserve"> </w:t>
      </w:r>
      <w:r>
        <w:t xml:space="preserve">In contrast, the estimated fraction excreted to urine of 21% slightly underestimated the observed value of 35% measured at 48 hours after IV bolus administration.</w:t>
      </w:r>
      <w:r>
        <w:t xml:space="preserve">35,41</w:t>
      </w:r>
    </w:p>
    <w:p>
      <w:r>
        <w:br w:type="page"/>
      </w:r>
    </w:p>
    <w:p>
      <w:pPr>
        <w:pStyle w:val="Textkrper"/>
      </w:pPr>
      <w:r>
        <w:rPr>
          <w:bCs/>
          <w:b/>
        </w:rPr>
        <w:t xml:space="preserve">Table 3-4.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rPr>
          <w:bCs/>
          <w:b/>
        </w:rPr>
        <w:t xml:space="preserve">Figure 3-4</w:t>
      </w:r>
      <w:r>
        <w:t xml:space="preserve"> </w:t>
      </w:r>
      <w:r>
        <w:t xml:space="preserve">shows the simulated oral model PK profiles in a healthy population compared against observed Roux 1980 study data.</w:t>
      </w:r>
      <w:r>
        <w:t xml:space="preserve">37</w:t>
      </w:r>
    </w:p>
    <w:p>
      <w:pPr>
        <w:pStyle w:val="Textkrper"/>
      </w:pPr>
    </w:p>
    <w:p>
      <w:r>
        <w:br w:type="page"/>
      </w:r>
    </w:p>
    <w:p>
      <w:pPr>
        <w:pStyle w:val="CaptionedFigure"/>
      </w:pPr>
      <w:r>
        <w:drawing>
          <wp:inline>
            <wp:extent cx="5969000" cy="2684806"/>
            <wp:effectExtent b="0" l="0" r="0" t="0"/>
            <wp:docPr descr="Figure 3-4: Simulation of the pharmacokinetics of Acebutolol after a single dose of 200 mg in healthy subjects. Observed data (circles) presented from Roux."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3-4: Simulation of the pharmacokinetics of Acebutolol after a single dose of 200 mg in healthy subjects. Observed data (circles) presented from Roux.</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w:t>
      </w:r>
      <w:r>
        <w:t xml:space="preserve"> </w:t>
      </w:r>
      <w:r>
        <w:rPr>
          <w:bCs/>
          <w:b/>
        </w:rPr>
        <w:t xml:space="preserve">Figure 3-5</w:t>
      </w:r>
    </w:p>
    <w:p>
      <w:pPr>
        <w:pStyle w:val="Textkrper"/>
      </w:pPr>
    </w:p>
    <w:p>
      <w:r>
        <w:br w:type="page"/>
      </w:r>
    </w:p>
    <w:p>
      <w:pPr>
        <w:pStyle w:val="CaptionedFigure"/>
      </w:pPr>
      <w:r>
        <w:drawing>
          <wp:inline>
            <wp:extent cx="5969000" cy="2684806"/>
            <wp:effectExtent b="0" l="0" r="0" t="0"/>
            <wp:docPr descr="Figure 3-5: Simulation of the pharmacokinetics of Acebutolol after a single dose of 200 mg in subjects with CKD. Observed data (circles) presented from Roux."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3-5: Simulation of the pharmacokinetics of Acebutolol after a single dose of 200 mg in subjects with CKD. Observed data (circles) presented from Roux.</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47</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48</w:t>
      </w:r>
      <w:r>
        <w:t xml:space="preserve"> </w:t>
      </w:r>
      <w:r>
        <w:t xml:space="preserve">Following oral administration, 50-60% of the dose is recovered in urine.</w:t>
      </w:r>
      <w:r>
        <w:t xml:space="preserve">48</w:t>
      </w:r>
      <w:r>
        <w:t xml:space="preserve"> </w:t>
      </w:r>
      <w:r>
        <w:t xml:space="preserve">These findings suggested that atenolol is not fully absorbed in the gastrointestinal tract and has a bioavailability of approximately 50%.</w:t>
      </w:r>
      <w:r>
        <w:t xml:space="preserve">48</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49</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3-5</w:t>
      </w:r>
      <w:r>
        <w:t xml:space="preserve"> </w:t>
      </w:r>
      <w:r>
        <w:t xml:space="preserve">and</w:t>
      </w:r>
      <w:r>
        <w:t xml:space="preserve"> </w:t>
      </w:r>
      <w:r>
        <w:rPr>
          <w:bCs/>
          <w:b/>
        </w:rPr>
        <w:t xml:space="preserve">Table 3-7</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3-6</w:t>
      </w:r>
      <w:r>
        <w:t xml:space="preserve"> </w:t>
      </w:r>
      <w:r>
        <w:t xml:space="preserve">and</w:t>
      </w:r>
      <w:r>
        <w:t xml:space="preserve"> </w:t>
      </w:r>
      <w:r>
        <w:rPr>
          <w:bCs/>
          <w:b/>
        </w:rPr>
        <w:t xml:space="preserve">Table 3-8</w:t>
      </w:r>
      <w:r>
        <w:t xml:space="preserve">.</w:t>
      </w:r>
    </w:p>
    <w:bookmarkStart w:id="49" w:name="iv-model"/>
    <w:p>
      <w:pPr>
        <w:pStyle w:val="berschrift5"/>
      </w:pPr>
      <w:r>
        <w:t xml:space="preserve">IV model</w:t>
      </w:r>
    </w:p>
    <w:p>
      <w:r>
        <w:br w:type="page"/>
      </w:r>
    </w:p>
    <w:p>
      <w:pPr>
        <w:pStyle w:val="FirstParagraph"/>
      </w:pPr>
      <w:r>
        <w:rPr>
          <w:bCs/>
          <w:b/>
        </w:rPr>
        <w:t xml:space="preserve">Table 3-5.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47</w:t>
            </w:r>
          </w:p>
        </w:tc>
      </w:tr>
      <w:tr>
        <w:tc>
          <w:tcPr/>
          <w:p>
            <w:pPr>
              <w:pStyle w:val="Compact"/>
              <w:jc w:val="left"/>
            </w:pPr>
            <w:r>
              <w:t xml:space="preserve">Water solubility</w:t>
            </w:r>
          </w:p>
        </w:tc>
        <w:tc>
          <w:tcPr/>
          <w:p>
            <w:pPr>
              <w:pStyle w:val="Compact"/>
              <w:jc w:val="left"/>
            </w:pPr>
            <w:r>
              <w:t xml:space="preserve">13.30 mg/mL</w:t>
            </w:r>
            <w: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200 µM</w:t>
            </w:r>
            <w:r>
              <w:t xml:space="preserve">50</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50</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3-6</w:t>
      </w:r>
      <w:r>
        <w:t xml:space="preserve"> </w:t>
      </w:r>
      <w:r>
        <w:t xml:space="preserve">presents the atenolol datasets used for building the IV model. The optimized values are presented in</w:t>
      </w:r>
      <w:r>
        <w:t xml:space="preserve"> </w:t>
      </w:r>
      <w:r>
        <w:rPr>
          <w:bCs/>
          <w:b/>
        </w:rPr>
        <w:t xml:space="preserve">Table 3-5</w:t>
      </w:r>
      <w:r>
        <w:t xml:space="preserve">. A proportional error model was chosen (i.e., log scaling).</w:t>
      </w:r>
    </w:p>
    <w:p>
      <w:r>
        <w:br w:type="page"/>
      </w:r>
    </w:p>
    <w:p>
      <w:pPr>
        <w:pStyle w:val="Textkrper"/>
      </w:pPr>
      <w:r>
        <w:rPr>
          <w:bCs/>
          <w:b/>
        </w:rPr>
        <w:t xml:space="preserve">Table 3-6.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3-7</w:t>
      </w:r>
      <w:r>
        <w:t xml:space="preserve">). A Weibull function was used to describe the dissolution profile.</w:t>
      </w:r>
    </w:p>
    <w:p>
      <w:r>
        <w:br w:type="page"/>
      </w:r>
    </w:p>
    <w:p>
      <w:pPr>
        <w:pStyle w:val="Textkrper"/>
      </w:pPr>
      <w:r>
        <w:rPr>
          <w:bCs/>
          <w:b/>
        </w:rPr>
        <w:t xml:space="preserve">Table 3-7.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57-60</w:t>
      </w:r>
      <w:r>
        <w:t xml:space="preserve"> </w:t>
      </w:r>
      <w:r>
        <w:t xml:space="preserve">The transporter-mediated uptake of atenolol is likely driven by the influx Plasma Membrane Monoamine Transporter (PMAT/SLC29A4) located on the apical membrane.</w:t>
      </w:r>
      <w: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3-8.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rPr>
          <w:bCs/>
          <w:b/>
        </w:rPr>
        <w:t xml:space="preserve">Figures 3-6, 3-7, and 3-8</w:t>
      </w:r>
      <w:r>
        <w:t xml:space="preserve"> </w:t>
      </w:r>
      <w:r>
        <w:t xml:space="preserve">demonstrate the simulated oral model PK profiles in a population compared against observed data from Wan 1979, Kirch 1981, and Sassard 1977, respectively.</w:t>
      </w:r>
      <w:r>
        <w:t xml:space="preserve">53,55,65</w:t>
      </w:r>
      <w:r>
        <w:t xml:space="preserve">.</w:t>
      </w:r>
    </w:p>
    <w:p>
      <w:pPr>
        <w:pStyle w:val="Textkrper"/>
      </w:pPr>
    </w:p>
    <w:p>
      <w:r>
        <w:br w:type="page"/>
      </w:r>
    </w:p>
    <w:p>
      <w:pPr>
        <w:pStyle w:val="CaptionedFigure"/>
      </w:pPr>
      <w:r>
        <w:drawing>
          <wp:inline>
            <wp:extent cx="5969000" cy="2684806"/>
            <wp:effectExtent b="0" l="0" r="0" t="0"/>
            <wp:docPr descr="Figure 3-6: Simulation of the pharmacokinetics of Atenolol after multiple doses of 100 mg once daily in healthy subjects. Observed data (circles) presented from Kirch."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3-6: Simulation of the pharmacokinetics of Atenolol after multiple doses of 100 mg once daily in healthy subjects.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7: Simulation of the pharmacokinetics of Atenolol after a single dose of 100 mg in healthy subjects. Observed data (circles) presented from Sassard."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3-7: Simulation of the pharmacokinetics of Atenolol after a single dose of 100 mg in healthy subjects.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8: Simulation of the pharmacokinetics of Atenolol after a single dose of 50 mg in healthy subjects. Observed data (circles) presented from Wan."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3-8: Simulation of the pharmacokinetics of Atenolol after a single dose of 50 mg in healthy subjects. Observed data (circles) presented from Wan.</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w:t>
      </w:r>
      <w:r>
        <w:t xml:space="preserve">53</w:t>
      </w:r>
      <w:r>
        <w:t xml:space="preserve"> </w:t>
      </w:r>
      <w:r>
        <w:t xml:space="preserve">(eGFR 37-60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3-9</w:t>
      </w:r>
      <w:r>
        <w:t xml:space="preserve">.</w:t>
      </w:r>
    </w:p>
    <w:p>
      <w:pPr>
        <w:pStyle w:val="Textkrper"/>
      </w:pPr>
      <w:r>
        <w:t xml:space="preserve">A population with Stage 4 CKD was created according to the demographic parameters of the target population presented in the study of Kirch 1981</w:t>
      </w:r>
      <w:r>
        <w:t xml:space="preserve">53</w:t>
      </w:r>
      <w:r>
        <w:t xml:space="preserve"> </w:t>
      </w:r>
      <w:r>
        <w:t xml:space="preserve">(eGFR 17-30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3-10</w:t>
      </w:r>
      <w:r>
        <w:t xml:space="preserve">.</w:t>
      </w:r>
    </w:p>
    <w:p>
      <w:pPr>
        <w:pStyle w:val="Textkrper"/>
      </w:pPr>
      <w:r>
        <w:t xml:space="preserve">A population with Stage 5 CKD was created according to the demographic parameters of the target population presented in the study of Kirch 1981</w:t>
      </w:r>
      <w:r>
        <w:t xml:space="preserve">53</w:t>
      </w:r>
      <w:r>
        <w:t xml:space="preserve"> </w:t>
      </w:r>
      <w:r>
        <w:t xml:space="preserve">(eGFR 5-9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3-11</w:t>
      </w:r>
      <w:r>
        <w:t xml:space="preserve">.</w:t>
      </w:r>
    </w:p>
    <w:p>
      <w:pPr>
        <w:pStyle w:val="Textkrper"/>
      </w:pPr>
      <w:r>
        <w:t xml:space="preserve">A population with Stage 3 CKD was created according to the demographic parameters of the target population presented in the study of Sassard 1977</w:t>
      </w:r>
      <w:r>
        <w:t xml:space="preserve">65</w:t>
      </w:r>
      <w:r>
        <w:t xml:space="preserve"> </w:t>
      </w:r>
      <w:r>
        <w:t xml:space="preserve">(eGFR 46-60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3-12</w:t>
      </w:r>
      <w:r>
        <w:t xml:space="preserve">.</w:t>
      </w:r>
    </w:p>
    <w:p>
      <w:pPr>
        <w:pStyle w:val="Textkrper"/>
      </w:pPr>
      <w:r>
        <w:t xml:space="preserve">A population with Stage 4-5 CKD was created according to the demographic parameters of the target population presented in the study of Sassard 1977</w:t>
      </w:r>
      <w:r>
        <w:t xml:space="preserve">65</w:t>
      </w:r>
      <w:r>
        <w:t xml:space="preserve"> </w:t>
      </w:r>
      <w:r>
        <w:t xml:space="preserve">(eGFR 8-24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3-13</w:t>
      </w:r>
      <w:r>
        <w:t xml:space="preserve">.</w:t>
      </w:r>
    </w:p>
    <w:p>
      <w:pPr>
        <w:pStyle w:val="Textkrper"/>
      </w:pPr>
      <w:r>
        <w:t xml:space="preserve">A population with Stage 3-4 CKD was created according to the demographic parameters of the target population presented in the study of Wan 1979</w:t>
      </w:r>
      <w:r>
        <w:t xml:space="preserve">55</w:t>
      </w:r>
      <w:r>
        <w:t xml:space="preserve"> </w:t>
      </w:r>
      <w:r>
        <w:t xml:space="preserve">(eGFR 15-42 mL/min/1.73m</w:t>
      </w:r>
      <w:r>
        <w:t xml:space="preserve">2</w:t>
      </w:r>
      <w:r>
        <w:t xml:space="preserve">). Simulation of the pharmacokinetics of atenolol after a single oral dose of 50 mg in this target population is presented in Figure</w:t>
      </w:r>
      <w:r>
        <w:t xml:space="preserve"> </w:t>
      </w:r>
      <w:r>
        <w:rPr>
          <w:bCs/>
          <w:b/>
        </w:rPr>
        <w:t xml:space="preserve">3-14</w:t>
      </w:r>
      <w:r>
        <w:t xml:space="preserve">.</w:t>
      </w:r>
    </w:p>
    <w:p>
      <w:pPr>
        <w:pStyle w:val="Textkrper"/>
      </w:pPr>
    </w:p>
    <w:p>
      <w:r>
        <w:br w:type="page"/>
      </w:r>
    </w:p>
    <w:p>
      <w:pPr>
        <w:pStyle w:val="CaptionedFigure"/>
      </w:pPr>
      <w:r>
        <w:drawing>
          <wp:inline>
            <wp:extent cx="5969000" cy="2684806"/>
            <wp:effectExtent b="0" l="0" r="0" t="0"/>
            <wp:docPr descr="Figure 3-9: Simulation of the pharmacokinetics of Atenolol after multiple doses of 100 mg once daily in subjects with CKD. Observed data (circles) presented from Kirch."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3-9: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0: Simulation of the pharmacokinetics of Atenolol after multiple doses of 100 mg once daily in subjects with CKD. Observed data (circles) presented from Kirch."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3-10: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1: Simulation of the pharmacokinetics of Atenolol after multiple doses of 100 mg once daily in subjects with CKD. Observed data (circles) presented from Kirch."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3-11: Simulation of the pharmacokinetics of Atenolol after multiple doses of 100 mg once daily in subjects with CKD. Observed data (circles) presented from Kirch.</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2: Simulation of the pharmacokinetics of Atenolol after a single dose of 100 mg in subjects with CKD. Observed data (circles) presented from Sassard."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3-12: Simulation of the pharmacokinetics of Atenolol after a single dose of 100 mg in subjects with CKD.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3: Simulation of the pharmacokinetics of Atenolol after a single dose of 100 mg in subjects with CKD. Observed data (circles) presented from Sassard."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3-13: Simulation of the pharmacokinetics of Atenolol after a single dose of 100 mg in subjects with CKD. Observed data (circles) presented from Sassard.</w:t>
      </w:r>
    </w:p>
    <w:p>
      <w:pPr>
        <w:pStyle w:val="Textkrper"/>
      </w:pPr>
      <w:r>
        <w:t xml:space="preserve"> </w:t>
      </w:r>
    </w:p>
    <w:p>
      <w:pPr>
        <w:pStyle w:val="Textkrper"/>
      </w:pPr>
    </w:p>
    <w:p>
      <w:r>
        <w:br w:type="page"/>
      </w:r>
    </w:p>
    <w:p>
      <w:pPr>
        <w:pStyle w:val="CaptionedFigure"/>
      </w:pPr>
      <w:r>
        <w:drawing>
          <wp:inline>
            <wp:extent cx="5969000" cy="2684806"/>
            <wp:effectExtent b="0" l="0" r="0" t="0"/>
            <wp:docPr descr="Figure 3-14: Simulation of the pharmacokinetics of Atenolol after a single dose of 50 mg in subjects with CKD. Observed data (circles) presented from Wan."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2684806"/>
                    </a:xfrm>
                    <a:prstGeom prst="rect">
                      <a:avLst/>
                    </a:prstGeom>
                    <a:noFill/>
                    <a:ln w="9525">
                      <a:noFill/>
                      <a:headEnd/>
                      <a:tailEnd/>
                    </a:ln>
                  </pic:spPr>
                </pic:pic>
              </a:graphicData>
            </a:graphic>
          </wp:inline>
        </w:drawing>
      </w:r>
    </w:p>
    <w:p>
      <w:pPr>
        <w:pStyle w:val="ImageCaption"/>
      </w:pPr>
      <w:r>
        <w:rPr>
          <w:bCs/>
          <w:b/>
        </w:rPr>
        <w:t xml:space="preserve">Figure 3-14: Simulation of the pharmacokinetics of Atenolol after a single dose of 50 mg in subjects with CKD. Observed data (circles) presented from Wan.</w:t>
      </w:r>
    </w:p>
    <w:p>
      <w:pPr>
        <w:pStyle w:val="Textkrper"/>
      </w:pPr>
      <w:r>
        <w:t xml:space="preserve"> </w:t>
      </w:r>
    </w:p>
    <w:p>
      <w:pPr>
        <w:pStyle w:val="Textkrper"/>
      </w:pPr>
    </w:p>
    <w:bookmarkEnd w:id="79"/>
    <w:bookmarkEnd w:id="80"/>
    <w:bookmarkEnd w:id="81"/>
    <w:bookmarkStart w:id="82" w:name="conclusion"/>
    <w:p>
      <w:pPr>
        <w:pStyle w:val="berschrift1"/>
      </w:pPr>
      <w:r>
        <w:t xml:space="preserve">Conclusion</w:t>
      </w:r>
    </w:p>
    <w:p>
      <w:pPr>
        <w:pStyle w:val="FirstParagraph"/>
      </w:pPr>
      <w:r>
        <w:t xml:space="preserve">Success of the virtual population with the test models for predicting drug pharmacokinetics in subjects with CKD qualifies the method to support the use of the population for PBPK-CKD modeling.</w:t>
      </w:r>
    </w:p>
    <w:p>
      <w:pPr>
        <w:pStyle w:val="Textkrper"/>
      </w:pPr>
      <w:r>
        <w:t xml:space="preserve">The evaluation was performed for compounds with significant renal elimination, for compounds subject to active transport through the OCT system, and compounds with non-renal elimination pathways that are largely conserved in subjects with CKD. The population parameters are intended to account for the underlying anatomy and physiology changes that occur in subjects with varying stages of CKD. Specific parameterizations from the user may be necessary for drug-specific cases where non-renal elimination pathways are affected by the disease (e.g., a metabolic enzyme) or where a transport pathway is significantly compromised (e.g., the OAT system).</w:t>
      </w:r>
    </w:p>
    <w:p>
      <w:pPr>
        <w:pStyle w:val="Textkrper"/>
      </w:pPr>
    </w:p>
    <w:bookmarkEnd w:id="82"/>
    <w:bookmarkStart w:id="83"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3"/>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2022-11-18T15:02:41Z</dcterms:created>
  <dcterms:modified xsi:type="dcterms:W3CDTF">2022-11-18T15:02:41Z</dcterms:modified>
</cp:coreProperties>
</file>

<file path=docProps/custom.xml><?xml version="1.0" encoding="utf-8"?>
<Properties xmlns="http://schemas.openxmlformats.org/officeDocument/2006/custom-properties" xmlns:vt="http://schemas.openxmlformats.org/officeDocument/2006/docPropsVTypes"/>
</file>